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47b45d62849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33312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OREHOVICA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1.151.198,77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476.332,04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287.466,33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343.371,37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863.732,44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132.960,67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34.268,04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171.679,66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94.069,42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137.411,62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93.808,11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726.320,82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5.152,57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0,7</w:t>
            </w:r>
          </w:p>
        </w:tc>
      </w:tr>
    </w:tbl>
    <w:p>
      <w:pPr>
        <w:spacing w:before="0" w:after="0"/>
      </w:pPr>
    </w:p>
    <w:p>
      <w:r>
        <w:t xml:space="preserve">U razdoblju od 1. siječnja do 31. ožujka 2026. prihodi poslovanja ostvareni su u iznosu od 476.332,04 eura. U odnosu na prethodnu godinu bilježi se smanjenje prihoda poslovanja, prvenstveno zbog toga što su u 2025. godini ostvareni značajni prihodi iz programa NPOO za izgradnju dječjeg vrtića koji je dovršen u istoj godini, dok u izvještajnom razdoblju 2026. takvih prihoda nema.</w:t>
      </w:r>
    </w:p>
    <w:p>
      <w:r>
        <w:t xml:space="preserve">Rashodi poslovanja u razdoblju od 1. siječnja do 31. ožujka 2026. ostvareni su u iznosu od 343.371,37 eura. Povećanje rashoda u odnosu na prethodno razdoblje prvenstveno se odnosi na rashode za zaposlene uslijed povećanja plaća te novih zapošljavanja. Također je evidentirano povećanje rashoda za naknade građanima i kućanstvima zbog većeg opsega isplata, uključujući uskrsnice, stipendije te potpore za ostvarivanje osnovne zdravstvene zaštite stanovnika.</w:t>
      </w:r>
    </w:p>
    <w:p>
      <w:r>
        <w:t xml:space="preserve">U navedenom razdoblju ostvaren je višak prihoda poslovanja u iznosu od 132.960,67 eura.</w:t>
      </w:r>
    </w:p>
    <w:p>
      <w:r>
        <w:t xml:space="preserve">Prihodi od prodaje nefinancijske imovine ostvareni su u iznosu od 261,31 eura, dok su rashodi za nabavu nefinancijske imovine iznosili 94.069,42 eura, slijedom čega je ostvaren manjak prihoda od nefinancijske imovine u iznosu od 93.808,11 eura. Smanjenje prihoda u odnosu na prethodnu godinu posljedica je činjenice da su u 2025. godini bila prodana zemljišta u vlasništvu općine, dok u izvještajnom razdoblju takvih prihoda nema. Rashodi za nabavu nefinancijske imovine su smanjeni jer je izgradnja dječjeg vrtića završena u 2025. godini, što je u prethodnom razdoblju činilo najveći dio ovih rashoda.</w:t>
      </w:r>
    </w:p>
    <w:p>
      <w:r>
        <w:t xml:space="preserve">U izvještajnom razdoblju nisu ostvareni primici od financijske imovine i zaduživanja, dok su izdaci za financijsku imovinu i otplate zajmova ostvareni u iznosu od 33.999,99 eura, a odnose se na otplatu obveza po kreditima, čime je ostvaren manjak od financijske imovine i zaduživanja u istom iznosu.</w:t>
      </w:r>
    </w:p>
    <w:p>
      <w:r>
        <w:t xml:space="preserve">Na kraju izvještajnog razdoblja ostvaren je ukupan višak prihoda i primitaka u iznosu od 5.152,57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205.886,90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231.870,18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U izvještajnom razdoblju evidentirano je povećanje prihoda od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10.618,48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139,0</w:t>
            </w:r>
          </w:p>
        </w:tc>
      </w:tr>
    </w:tbl>
    <w:p>
      <w:pPr>
        <w:spacing w:before="0" w:after="0"/>
      </w:pPr>
    </w:p>
    <w:p>
      <w:r>
        <w:t xml:space="preserve">Povećanje prihoda evidentirano je na prihodima od imovine uslijed uvođenja novog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705.337,23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Smanjenje prihoda bilježi se na prihodima od pomoći budući da su u 2025. godini ostvarena sredstva iz NPOO za izgradnju dječjeg vrtića, dok u izvještajnom razdoblju takvih prihoda nema.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13.440,37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53,6</w:t>
            </w:r>
          </w:p>
        </w:tc>
      </w:tr>
    </w:tbl>
    <w:p>
      <w:pPr>
        <w:spacing w:before="0" w:after="0"/>
      </w:pPr>
    </w:p>
    <w:p>
      <w:r>
        <w:t xml:space="preserve">U izvještajnom razdoblju došlo je do smanjenja prihoda od hidrorente i eksploatacije šljunka.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60.728,61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149,2</w:t>
            </w:r>
          </w:p>
        </w:tc>
      </w:tr>
    </w:tbl>
    <w:p>
      <w:pPr>
        <w:spacing w:before="0" w:after="0"/>
      </w:pPr>
    </w:p>
    <w:p>
      <w:r>
        <w:t xml:space="preserve">Povećanje rashoda za zaposlene evidentirano je uslijed novih zapošljavanja i povećanja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6.879,63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rashoda za naknade dužnosnika proizlazi iz činjenice da načelnik u izvještajnom razdoblju obnaša dužnost volonterski, dok je u prethodnom razdoblju dužnost obnašana profesionalno.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37.538,42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7.391,16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19,7</w:t>
            </w:r>
          </w:p>
        </w:tc>
      </w:tr>
    </w:tbl>
    <w:p>
      <w:pPr>
        <w:spacing w:before="0" w:after="0"/>
      </w:pPr>
    </w:p>
    <w:p>
      <w:r>
        <w:t xml:space="preserve">U prethodnom razdoblju djeca su pohađala privatni vrtić na području općine, dok u izvještajnom razdoblju pohađaju matični dječji vrtić, stoga su ovi rashodi smanjeni.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prethodnoj godini općina nije imala matični dječji vrtić, slijedom čega ovi rashodi nisu bili evidentirani, dok su u izvještajnom razdoblju isti nastali.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51.086,11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801,5</w:t>
            </w:r>
          </w:p>
        </w:tc>
      </w:tr>
    </w:tbl>
    <w:p>
      <w:pPr>
        <w:spacing w:before="0" w:after="0"/>
      </w:pPr>
    </w:p>
    <w:p>
      <w:r>
        <w:t xml:space="preserve">Također je evidentirano povećanje rashoda za naknade građanima i kućanstvima zbog većeg opsega isplata, uključujući uskrsnice, stipendije te potpore za ostvarivanje osnovne zdravstvene zaštite stanovnika.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64.242,35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5,6</w:t>
            </w:r>
          </w:p>
        </w:tc>
      </w:tr>
    </w:tbl>
    <w:p>
      <w:pPr>
        <w:spacing w:before="0" w:after="0"/>
      </w:pPr>
    </w:p>
    <w:p>
      <w:r>
        <w:t xml:space="preserve">U izvještajnom razdoblju nisu još ostvareni rashodi koje se odnose na financiranje HGSS-a, vatrogastva te političkih stranaka.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34.268,04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0,8</w:t>
            </w:r>
          </w:p>
        </w:tc>
      </w:tr>
    </w:tbl>
    <w:p>
      <w:pPr>
        <w:spacing w:before="0" w:after="0"/>
      </w:pPr>
    </w:p>
    <w:p>
      <w:r>
        <w:t xml:space="preserve">Smanjenje prihoda od prodaje nefinancijske imovine u odnosu na prethodnu godinu rezultat je činjenice da su u 2025. godini ostvareni prihodi od prodaje zemljišta u vlasništvu općine, dok u izvještajnom razdoblju takvi prihodi nisu ostvareni.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166.387,66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56,1</w:t>
            </w:r>
          </w:p>
        </w:tc>
      </w:tr>
    </w:tbl>
    <w:p>
      <w:pPr>
        <w:spacing w:before="0" w:after="0"/>
      </w:pPr>
    </w:p>
    <w:p>
      <w:r>
        <w:t xml:space="preserve">Smanjenje rashoda za nabavu nefinancijske imovine evidentirano je zbog završetka izgradnje dječjeg vrtića u 2025. godini, koja je u prethodnom razdoblju činila najveći dio ovih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33.999,99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prethodnom izvještajnom razdoblju nisu bili evidentirani izdaci po osnovi otplate kredita, dok je kredit za izgradnju dječjeg vrtića ušao u otplatu s 1. listopada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kraju izvještajnog razdoblja iznose ukupno 789.124,60 eura, od čega su dospjele obveze u iznosu od 558,01 eura, a nedospjele obveze u iznosu od 788.566,59 eura.</w:t>
      </w:r>
    </w:p>
    <w:p>
      <w:r>
        <w:t xml:space="preserve">Dospjele obveze odnose se na obveze po računima zaprimljenima nakon isteka datuma dospijeća.</w:t>
      </w:r>
    </w:p>
    <w:p>
      <w:r>
        <w:t xml:space="preserve">Nedospjele obveze najvećim dijelom odnose se na obveze za financijsku imovinu, odnosno kredite i zajmove u iznosu od 612.000,02 eura, obveze za nabavu nefinancijske imovine u iznosu od 93.408,58 eura, obveze za rashode poslovanja u iznosu od 39.203,06 eura te obveze za predujmove, depozite i jamčevne pologe te tuđe prihode u iznosu od 43.954,93 eura. Obveze za rashode poslovanja uključuju redovne obveze za zaposlene, materijalne rashode i obveze prema dobavljačima koje dospijevaju u narednom razdoblju. Obveze za nabavu nefinancijske imovine odnose se na ulaganja u izgradnju ceste kod novoizgrađenog dječjeg vrtića.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25724be424b4d" /></Relationships>
</file>